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56E2" w14:textId="77777777" w:rsidR="00E97C53" w:rsidRPr="00BC4D19" w:rsidRDefault="007C520A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8"/>
        </w:rPr>
        <w:t>TELEPHONE INTERVIEW QUESTIONS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6575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B023D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6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1C6F9D56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389E2A79" w14:textId="46E262A9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Candidate Name: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03435" w14:textId="6E4639DD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5A87A449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1BE48A83" w14:textId="20B65AD7" w:rsidR="00B023D3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Reviewer Name: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282FB" w14:textId="1726D178" w:rsidR="00B023D3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6F8827D0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SAMPLE QUESTIONS</w:t>
            </w:r>
          </w:p>
        </w:tc>
      </w:tr>
      <w:tr w:rsidR="00B023D3" w:rsidRPr="00E00399" w14:paraId="6C96B061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E3AB" w14:textId="47151668" w:rsidR="00B023D3" w:rsidRPr="009229AA" w:rsidRDefault="004636C4" w:rsidP="00B023D3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>It is highly encouraged that all interviews include at least one question related to the candidate’s commitment to inclusivity and equity. Please see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4636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Inclusivity and Equity Interview Questions</w:t>
              </w:r>
            </w:hyperlink>
            <w:r w:rsidRPr="004636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636C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for sample questions. For other available sample questions (general and/or specific to the position), please contact Human Resources at </w:t>
            </w:r>
            <w:hyperlink r:id="rId9" w:history="1">
              <w:r w:rsidRPr="004636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Pr="004636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>or ext. 2390</w:t>
            </w:r>
            <w:r>
              <w:rPr>
                <w:color w:val="000000"/>
                <w:sz w:val="20"/>
                <w:szCs w:val="20"/>
              </w:rPr>
              <w:t>.</w:t>
            </w:r>
            <w:r w:rsidR="00B023D3"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ab/>
            </w:r>
          </w:p>
          <w:p w14:paraId="36AB8193" w14:textId="66258BB1" w:rsidR="00B023D3" w:rsidRDefault="00B023D3" w:rsidP="00B023D3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>The telephone interview is a common and effective way to perform a secondary screening.  It allows the applicant to get a general sense of UW</w:t>
            </w:r>
            <w:r w:rsidR="004372BB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  <w:r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>Green Bay as an employer and determine continued interest in pursuing this opportunity.  It allows the employer to determine if the candidate's qualifications, experience, workplace preferences</w:t>
            </w:r>
            <w:r w:rsidR="004372BB"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  <w:r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and salary needs are congruent with the position and organization. The telephone job interview eliminates unlikely candidates.</w:t>
            </w:r>
            <w:r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ab/>
            </w:r>
          </w:p>
        </w:tc>
      </w:tr>
      <w:tr w:rsidR="00B023D3" w:rsidRPr="00ED3334" w14:paraId="4B7AB0F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9876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251848" w14:paraId="6D6AC08C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33699E24" w14:textId="6D302BB5" w:rsidR="00B023D3" w:rsidRPr="00E82F32" w:rsidRDefault="00B023D3" w:rsidP="001E275E">
            <w:p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Recruitment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 xml:space="preserve"> Chair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sends form electronically to designated approver (cc: </w:t>
            </w:r>
            <w:hyperlink r:id="rId10" w:history="1">
              <w:r w:rsidR="004372BB" w:rsidRPr="004A1A3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4372BB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4636C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75E4987A" w14:textId="711E56D4" w:rsidR="00B023D3" w:rsidRPr="00E00399" w:rsidRDefault="00B023D3" w:rsidP="001E275E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4372BB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pprover sends an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email indicating approval to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(cc:</w:t>
            </w:r>
            <w:r w:rsidR="004636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hr@uwgb.edu</w:t>
            </w:r>
            <w:r w:rsidR="00437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372BB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54C7DE89" w14:textId="11AC1739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4372BB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default" r:id="rId11"/>
      <w:footerReference w:type="default" r:id="rId12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46E5F9CC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4372BB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09F0FC6D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4636C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/</w:t>
    </w:r>
    <w:r w:rsidR="004636C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2/1</w:t>
    </w:r>
    <w:r w:rsidR="004636C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9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636C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636C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22FC4"/>
    <w:rsid w:val="0025773F"/>
    <w:rsid w:val="002608E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607AD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372BB"/>
    <w:rsid w:val="00454E2B"/>
    <w:rsid w:val="004636C4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65378"/>
    <w:rsid w:val="005730C5"/>
    <w:rsid w:val="005B05A5"/>
    <w:rsid w:val="005C7F6E"/>
    <w:rsid w:val="005D35D1"/>
    <w:rsid w:val="005E2869"/>
    <w:rsid w:val="005E744F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E554B"/>
    <w:rsid w:val="006F65D3"/>
    <w:rsid w:val="007004CA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4D19"/>
    <w:rsid w:val="00BC7416"/>
    <w:rsid w:val="00BD1D40"/>
    <w:rsid w:val="00BD6A21"/>
    <w:rsid w:val="00BF37B9"/>
    <w:rsid w:val="00C07FB8"/>
    <w:rsid w:val="00C2003C"/>
    <w:rsid w:val="00C359B0"/>
    <w:rsid w:val="00C363BB"/>
    <w:rsid w:val="00C43153"/>
    <w:rsid w:val="00C72BEE"/>
    <w:rsid w:val="00C75555"/>
    <w:rsid w:val="00C9747C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E7324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2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UWGBCMS/media/hr/recruitment-resources/InclusivityandEquityInterviewQuestion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uwg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uwgb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7E3A-7A18-4D50-AB21-8B591A69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Charapata, Jenny</cp:lastModifiedBy>
  <cp:revision>4</cp:revision>
  <cp:lastPrinted>2013-04-26T19:18:00Z</cp:lastPrinted>
  <dcterms:created xsi:type="dcterms:W3CDTF">2015-07-03T15:33:00Z</dcterms:created>
  <dcterms:modified xsi:type="dcterms:W3CDTF">2019-02-22T15:39:00Z</dcterms:modified>
</cp:coreProperties>
</file>