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DB745" w14:textId="027ACC1B" w:rsidR="00A9272C" w:rsidRDefault="00A9272C" w:rsidP="00A9272C">
      <w:pPr>
        <w:pStyle w:val="NormalWeb"/>
        <w:jc w:val="center"/>
      </w:pPr>
      <w:r>
        <w:rPr>
          <w:noProof/>
        </w:rPr>
        <w:drawing>
          <wp:inline distT="0" distB="0" distL="0" distR="0" wp14:anchorId="2FA9E82F" wp14:editId="5D2EEE59">
            <wp:extent cx="3429000" cy="1199051"/>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57596" cy="120905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350"/>
      </w:tblGrid>
      <w:tr w:rsidR="00710787" w14:paraId="12DB200E" w14:textId="77777777" w:rsidTr="00D0566C">
        <w:tc>
          <w:tcPr>
            <w:tcW w:w="9350" w:type="dxa"/>
            <w:tcBorders>
              <w:top w:val="nil"/>
              <w:left w:val="nil"/>
              <w:bottom w:val="single" w:sz="4" w:space="0" w:color="auto"/>
              <w:right w:val="nil"/>
            </w:tcBorders>
          </w:tcPr>
          <w:p w14:paraId="1A59CF84" w14:textId="77777777" w:rsidR="00710787" w:rsidRDefault="00710787" w:rsidP="00A9272C">
            <w:pPr>
              <w:pStyle w:val="NormalWeb"/>
              <w:spacing w:before="0" w:beforeAutospacing="0" w:after="0" w:afterAutospacing="0"/>
              <w:jc w:val="center"/>
              <w:rPr>
                <w:rFonts w:asciiTheme="minorHAnsi" w:hAnsiTheme="minorHAnsi" w:cstheme="minorHAnsi"/>
                <w:b/>
                <w:bCs/>
              </w:rPr>
            </w:pPr>
            <w:r w:rsidRPr="00710787">
              <w:rPr>
                <w:rFonts w:asciiTheme="minorHAnsi" w:hAnsiTheme="minorHAnsi" w:cstheme="minorHAnsi"/>
                <w:b/>
                <w:bCs/>
                <w:sz w:val="40"/>
                <w:szCs w:val="40"/>
              </w:rPr>
              <w:t>Account Ownership Types &amp; Glossary</w:t>
            </w:r>
          </w:p>
          <w:p w14:paraId="5095834E" w14:textId="52A4E108" w:rsidR="00A9272C" w:rsidRPr="00A9272C" w:rsidRDefault="00A9272C" w:rsidP="00A9272C">
            <w:pPr>
              <w:pStyle w:val="NormalWeb"/>
              <w:spacing w:before="0" w:beforeAutospacing="0" w:after="0" w:afterAutospacing="0"/>
              <w:jc w:val="center"/>
              <w:rPr>
                <w:rFonts w:asciiTheme="minorHAnsi" w:hAnsiTheme="minorHAnsi" w:cstheme="minorHAnsi"/>
              </w:rPr>
            </w:pPr>
          </w:p>
        </w:tc>
      </w:tr>
      <w:tr w:rsidR="008A1FA2" w14:paraId="5B7285E9" w14:textId="77777777" w:rsidTr="000B054B">
        <w:tc>
          <w:tcPr>
            <w:tcW w:w="9350" w:type="dxa"/>
            <w:tcBorders>
              <w:top w:val="single" w:sz="4" w:space="0" w:color="auto"/>
              <w:bottom w:val="single" w:sz="4" w:space="0" w:color="auto"/>
            </w:tcBorders>
            <w:shd w:val="clear" w:color="auto" w:fill="805992"/>
          </w:tcPr>
          <w:p w14:paraId="36399E16" w14:textId="3DF55FEB" w:rsidR="008A1FA2" w:rsidRPr="00AB0258" w:rsidRDefault="006C4100" w:rsidP="006C4100">
            <w:pPr>
              <w:tabs>
                <w:tab w:val="center" w:pos="4567"/>
                <w:tab w:val="left" w:pos="7830"/>
              </w:tabs>
              <w:rPr>
                <w:b/>
                <w:bCs/>
                <w:color w:val="FFFFFF" w:themeColor="background1"/>
                <w:sz w:val="24"/>
                <w:szCs w:val="24"/>
              </w:rPr>
            </w:pPr>
            <w:r>
              <w:rPr>
                <w:b/>
                <w:bCs/>
                <w:color w:val="FFFFFF" w:themeColor="background1"/>
                <w:sz w:val="24"/>
                <w:szCs w:val="24"/>
              </w:rPr>
              <w:tab/>
            </w:r>
            <w:r w:rsidR="008A1FA2" w:rsidRPr="00AB0258">
              <w:rPr>
                <w:b/>
                <w:bCs/>
                <w:color w:val="FFFFFF" w:themeColor="background1"/>
                <w:sz w:val="24"/>
                <w:szCs w:val="24"/>
              </w:rPr>
              <w:t>Typical Types of Checking and Savings Accounts</w:t>
            </w:r>
            <w:r>
              <w:rPr>
                <w:b/>
                <w:bCs/>
                <w:color w:val="FFFFFF" w:themeColor="background1"/>
                <w:sz w:val="24"/>
                <w:szCs w:val="24"/>
              </w:rPr>
              <w:tab/>
            </w:r>
          </w:p>
        </w:tc>
      </w:tr>
      <w:tr w:rsidR="00AB0258" w14:paraId="7AA3D702" w14:textId="77777777" w:rsidTr="00EF5742">
        <w:tc>
          <w:tcPr>
            <w:tcW w:w="9350" w:type="dxa"/>
            <w:tcBorders>
              <w:top w:val="single" w:sz="4" w:space="0" w:color="auto"/>
              <w:bottom w:val="single" w:sz="4" w:space="0" w:color="auto"/>
            </w:tcBorders>
          </w:tcPr>
          <w:p w14:paraId="75273BC2" w14:textId="77777777" w:rsidR="00710787" w:rsidRDefault="00710787" w:rsidP="00AB0258">
            <w:pPr>
              <w:rPr>
                <w:b/>
                <w:bCs/>
                <w:sz w:val="24"/>
                <w:szCs w:val="24"/>
              </w:rPr>
            </w:pPr>
          </w:p>
          <w:p w14:paraId="4DE5055C" w14:textId="37BD5308" w:rsidR="00AB0258" w:rsidRPr="00F257D7" w:rsidRDefault="00AB0258" w:rsidP="00AB0258">
            <w:pPr>
              <w:rPr>
                <w:b/>
                <w:bCs/>
                <w:sz w:val="24"/>
                <w:szCs w:val="24"/>
              </w:rPr>
            </w:pPr>
            <w:r w:rsidRPr="00F257D7">
              <w:rPr>
                <w:b/>
                <w:bCs/>
                <w:sz w:val="24"/>
                <w:szCs w:val="24"/>
              </w:rPr>
              <w:t>Individual Account (Checking or Savings):</w:t>
            </w:r>
          </w:p>
          <w:p w14:paraId="660B7EC0" w14:textId="77777777" w:rsidR="00AB0258" w:rsidRDefault="00AB0258" w:rsidP="00AB0258">
            <w:r>
              <w:t>An individual account is owned solely by one person who manages all transactions and liabilities associated with the account. Only the owner has transactional authority.</w:t>
            </w:r>
          </w:p>
          <w:p w14:paraId="620A6DE8" w14:textId="77777777" w:rsidR="00AB0258" w:rsidRDefault="00AB0258" w:rsidP="00AB0258"/>
          <w:p w14:paraId="4527352C" w14:textId="77777777" w:rsidR="00AB0258" w:rsidRPr="00F257D7" w:rsidRDefault="00AB0258" w:rsidP="00AB0258">
            <w:pPr>
              <w:rPr>
                <w:b/>
                <w:bCs/>
                <w:sz w:val="24"/>
                <w:szCs w:val="24"/>
              </w:rPr>
            </w:pPr>
            <w:r w:rsidRPr="00F257D7">
              <w:rPr>
                <w:b/>
                <w:bCs/>
                <w:sz w:val="24"/>
                <w:szCs w:val="24"/>
              </w:rPr>
              <w:t>Joint Account with Multiple Parties (Checking or Savings):</w:t>
            </w:r>
          </w:p>
          <w:p w14:paraId="0C2FB54D" w14:textId="77777777" w:rsidR="00AB0258" w:rsidRPr="00EF5742" w:rsidRDefault="00AB0258" w:rsidP="00AB0258">
            <w:r>
              <w:t>Joint accounts are held in the names of two or more individuals, such as spouses, family members, or business partners. All owners can transact on the account and share ownership and liability.</w:t>
            </w:r>
          </w:p>
          <w:p w14:paraId="71B2FD14" w14:textId="77777777" w:rsidR="00AB0258" w:rsidRPr="00AB0258" w:rsidRDefault="00AB0258" w:rsidP="00AB0258">
            <w:pPr>
              <w:jc w:val="center"/>
              <w:rPr>
                <w:b/>
                <w:bCs/>
                <w:sz w:val="24"/>
                <w:szCs w:val="24"/>
              </w:rPr>
            </w:pPr>
          </w:p>
        </w:tc>
      </w:tr>
      <w:tr w:rsidR="00EF5742" w14:paraId="00F4634B" w14:textId="77777777" w:rsidTr="000B054B">
        <w:tc>
          <w:tcPr>
            <w:tcW w:w="9350" w:type="dxa"/>
            <w:tcBorders>
              <w:top w:val="single" w:sz="4" w:space="0" w:color="auto"/>
              <w:bottom w:val="single" w:sz="4" w:space="0" w:color="auto"/>
            </w:tcBorders>
            <w:shd w:val="clear" w:color="auto" w:fill="DBC9ED"/>
          </w:tcPr>
          <w:p w14:paraId="37BA4BA2" w14:textId="35639B39" w:rsidR="00EF5742" w:rsidRPr="008A1FA2" w:rsidRDefault="00EF5742" w:rsidP="000B054B">
            <w:pPr>
              <w:tabs>
                <w:tab w:val="left" w:pos="7335"/>
              </w:tabs>
              <w:rPr>
                <w:b/>
                <w:bCs/>
              </w:rPr>
            </w:pPr>
            <w:r>
              <w:rPr>
                <w:b/>
                <w:bCs/>
              </w:rPr>
              <w:t>In the event of an owner’s death in a jointly owned account:</w:t>
            </w:r>
            <w:r w:rsidR="000B054B">
              <w:rPr>
                <w:b/>
                <w:bCs/>
              </w:rPr>
              <w:tab/>
            </w:r>
          </w:p>
        </w:tc>
      </w:tr>
      <w:tr w:rsidR="00EF5742" w14:paraId="20E526F8" w14:textId="77777777" w:rsidTr="00EF5742">
        <w:tc>
          <w:tcPr>
            <w:tcW w:w="9350" w:type="dxa"/>
            <w:tcBorders>
              <w:top w:val="single" w:sz="4" w:space="0" w:color="auto"/>
              <w:bottom w:val="single" w:sz="4" w:space="0" w:color="auto"/>
            </w:tcBorders>
          </w:tcPr>
          <w:p w14:paraId="5665DEC0" w14:textId="77777777" w:rsidR="00710787" w:rsidRDefault="00710787" w:rsidP="00710787">
            <w:pPr>
              <w:pStyle w:val="ListParagraph"/>
              <w:rPr>
                <w:b/>
                <w:bCs/>
              </w:rPr>
            </w:pPr>
          </w:p>
          <w:p w14:paraId="5370B61F" w14:textId="7FAE2246" w:rsidR="00EF5742" w:rsidRPr="00EF5742" w:rsidRDefault="00EF5742" w:rsidP="00EF5742">
            <w:pPr>
              <w:pStyle w:val="ListParagraph"/>
              <w:numPr>
                <w:ilvl w:val="0"/>
                <w:numId w:val="1"/>
              </w:numPr>
              <w:rPr>
                <w:b/>
                <w:bCs/>
              </w:rPr>
            </w:pPr>
            <w:r>
              <w:rPr>
                <w:b/>
                <w:bCs/>
              </w:rPr>
              <w:t xml:space="preserve">Joint Account with Rights of Survivorship: </w:t>
            </w:r>
            <w:r>
              <w:t xml:space="preserve">The surviving joint owner gains full ownership of the funds and retains </w:t>
            </w:r>
            <w:r w:rsidR="00F257D7">
              <w:t xml:space="preserve">the </w:t>
            </w:r>
            <w:r>
              <w:t>use of the account.</w:t>
            </w:r>
          </w:p>
          <w:p w14:paraId="73777120" w14:textId="7EC332E1" w:rsidR="00EF5742" w:rsidRPr="00710787" w:rsidRDefault="00EF5742" w:rsidP="00EF5742">
            <w:pPr>
              <w:pStyle w:val="ListParagraph"/>
              <w:numPr>
                <w:ilvl w:val="0"/>
                <w:numId w:val="1"/>
              </w:numPr>
              <w:rPr>
                <w:b/>
                <w:bCs/>
              </w:rPr>
            </w:pPr>
            <w:r>
              <w:rPr>
                <w:b/>
                <w:bCs/>
              </w:rPr>
              <w:t>Transfer on Death</w:t>
            </w:r>
            <w:r w:rsidR="00710787">
              <w:rPr>
                <w:b/>
                <w:bCs/>
              </w:rPr>
              <w:t xml:space="preserve"> (TOD): </w:t>
            </w:r>
            <w:r w:rsidR="006F4CB8">
              <w:t xml:space="preserve">The funds of the account </w:t>
            </w:r>
            <w:r w:rsidR="00710787">
              <w:t>transfer</w:t>
            </w:r>
            <w:r w:rsidR="006F4CB8">
              <w:t xml:space="preserve"> directly to the named beneficiary upon the death of the last surviving owner. </w:t>
            </w:r>
            <w:r w:rsidR="00710787">
              <w:t>During the lifetime of the owners, the beneficiary has no rights to the funds and the account owners can freely change or revoke the Transfer on Death designation.</w:t>
            </w:r>
          </w:p>
          <w:p w14:paraId="7F149093" w14:textId="6C7AB9F3" w:rsidR="00710787" w:rsidRPr="00710787" w:rsidRDefault="00710787" w:rsidP="00EF5742">
            <w:pPr>
              <w:pStyle w:val="ListParagraph"/>
              <w:numPr>
                <w:ilvl w:val="0"/>
                <w:numId w:val="1"/>
              </w:numPr>
              <w:rPr>
                <w:b/>
                <w:bCs/>
              </w:rPr>
            </w:pPr>
            <w:r>
              <w:rPr>
                <w:b/>
                <w:bCs/>
              </w:rPr>
              <w:t xml:space="preserve">Payable on Death (POD): </w:t>
            </w:r>
            <w:r>
              <w:t xml:space="preserve">The funds of the account pass directly to the named beneficiary upon </w:t>
            </w:r>
            <w:r w:rsidR="00A9272C">
              <w:t xml:space="preserve">the </w:t>
            </w:r>
            <w:r>
              <w:t>death of the last surviving owner.</w:t>
            </w:r>
          </w:p>
          <w:p w14:paraId="2C6E5CA6" w14:textId="6C40B725" w:rsidR="00710787" w:rsidRPr="00710787" w:rsidRDefault="00710787" w:rsidP="00710787">
            <w:pPr>
              <w:rPr>
                <w:b/>
                <w:bCs/>
              </w:rPr>
            </w:pPr>
          </w:p>
        </w:tc>
      </w:tr>
      <w:tr w:rsidR="00EF5742" w14:paraId="24B53F2B" w14:textId="77777777" w:rsidTr="000B054B">
        <w:tc>
          <w:tcPr>
            <w:tcW w:w="9350" w:type="dxa"/>
            <w:tcBorders>
              <w:top w:val="single" w:sz="4" w:space="0" w:color="auto"/>
              <w:bottom w:val="single" w:sz="4" w:space="0" w:color="auto"/>
            </w:tcBorders>
            <w:shd w:val="clear" w:color="auto" w:fill="DBC9ED"/>
          </w:tcPr>
          <w:p w14:paraId="20B040DE" w14:textId="51DF1A1C" w:rsidR="00EF5742" w:rsidRPr="00EF5742" w:rsidRDefault="00EF5742" w:rsidP="00EF5742">
            <w:pPr>
              <w:rPr>
                <w:b/>
                <w:bCs/>
              </w:rPr>
            </w:pPr>
            <w:r>
              <w:rPr>
                <w:b/>
                <w:bCs/>
              </w:rPr>
              <w:t>Adding Someone to an Individual Account:</w:t>
            </w:r>
          </w:p>
        </w:tc>
      </w:tr>
      <w:tr w:rsidR="00EF5742" w:rsidRPr="00EF5742" w14:paraId="4DDC2048" w14:textId="77777777" w:rsidTr="00A9272C">
        <w:tc>
          <w:tcPr>
            <w:tcW w:w="9350" w:type="dxa"/>
            <w:tcBorders>
              <w:top w:val="single" w:sz="4" w:space="0" w:color="auto"/>
              <w:bottom w:val="single" w:sz="4" w:space="0" w:color="auto"/>
            </w:tcBorders>
          </w:tcPr>
          <w:p w14:paraId="5402806C" w14:textId="77777777" w:rsidR="00710787" w:rsidRDefault="00710787" w:rsidP="00710787">
            <w:pPr>
              <w:pStyle w:val="ListParagraph"/>
              <w:rPr>
                <w:b/>
                <w:bCs/>
              </w:rPr>
            </w:pPr>
          </w:p>
          <w:p w14:paraId="35074955" w14:textId="1D1F4764" w:rsidR="00EF5742" w:rsidRPr="00EF5742" w:rsidRDefault="00EF5742" w:rsidP="00EF5742">
            <w:pPr>
              <w:pStyle w:val="ListParagraph"/>
              <w:numPr>
                <w:ilvl w:val="0"/>
                <w:numId w:val="3"/>
              </w:numPr>
              <w:rPr>
                <w:b/>
                <w:bCs/>
              </w:rPr>
            </w:pPr>
            <w:r>
              <w:rPr>
                <w:b/>
                <w:bCs/>
              </w:rPr>
              <w:t xml:space="preserve">Authorized Signer: </w:t>
            </w:r>
            <w:r>
              <w:t>This individual can transact on the account but does not own the funds or assume any liabilities. Authority ends upon the account owner’s death.</w:t>
            </w:r>
          </w:p>
          <w:p w14:paraId="746B5826" w14:textId="77777777" w:rsidR="00EF5742" w:rsidRPr="00EF5742" w:rsidRDefault="00EF5742" w:rsidP="00EF5742">
            <w:pPr>
              <w:pStyle w:val="ListParagraph"/>
              <w:numPr>
                <w:ilvl w:val="0"/>
                <w:numId w:val="3"/>
              </w:numPr>
              <w:rPr>
                <w:b/>
                <w:bCs/>
              </w:rPr>
            </w:pPr>
            <w:r>
              <w:rPr>
                <w:b/>
                <w:bCs/>
              </w:rPr>
              <w:t>Agent under Durable Power of Attorney:</w:t>
            </w:r>
            <w:r>
              <w:t xml:space="preserve"> Acting within the scope of the document, this agent can manage the account but has no ownership or liability. Authority ceases upon the principal’s death.</w:t>
            </w:r>
          </w:p>
          <w:p w14:paraId="38B9A1C0" w14:textId="77777777" w:rsidR="00EF5742" w:rsidRPr="00710787" w:rsidRDefault="00EF5742" w:rsidP="00EF5742">
            <w:pPr>
              <w:pStyle w:val="ListParagraph"/>
              <w:numPr>
                <w:ilvl w:val="0"/>
                <w:numId w:val="3"/>
              </w:numPr>
              <w:rPr>
                <w:b/>
                <w:bCs/>
              </w:rPr>
            </w:pPr>
            <w:r>
              <w:rPr>
                <w:b/>
                <w:bCs/>
              </w:rPr>
              <w:t xml:space="preserve">Joint Owner: </w:t>
            </w:r>
            <w:r>
              <w:t xml:space="preserve"> This person gains ownership and transactional authority and assumes all liabilities. With rights of survivorship, the surviving owner continues using the account after the death of another owner, with no transfer to beneficiaries or the estate as long as a surviving owner remains.</w:t>
            </w:r>
          </w:p>
          <w:p w14:paraId="0F79C736" w14:textId="676D23BA" w:rsidR="00710787" w:rsidRPr="00710787" w:rsidRDefault="00710787" w:rsidP="00710787">
            <w:pPr>
              <w:rPr>
                <w:b/>
                <w:bCs/>
              </w:rPr>
            </w:pPr>
          </w:p>
        </w:tc>
      </w:tr>
      <w:tr w:rsidR="00A9272C" w:rsidRPr="00EF5742" w14:paraId="585EA98E" w14:textId="77777777" w:rsidTr="00A9272C">
        <w:tc>
          <w:tcPr>
            <w:tcW w:w="9350" w:type="dxa"/>
            <w:tcBorders>
              <w:top w:val="single" w:sz="4" w:space="0" w:color="auto"/>
              <w:left w:val="nil"/>
              <w:bottom w:val="nil"/>
              <w:right w:val="nil"/>
            </w:tcBorders>
          </w:tcPr>
          <w:p w14:paraId="666673E7" w14:textId="77777777" w:rsidR="00A9272C" w:rsidRDefault="00A9272C" w:rsidP="00710787">
            <w:pPr>
              <w:pStyle w:val="ListParagraph"/>
              <w:rPr>
                <w:b/>
                <w:bCs/>
              </w:rPr>
            </w:pPr>
          </w:p>
          <w:p w14:paraId="5EFBD80B" w14:textId="77777777" w:rsidR="00A9272C" w:rsidRDefault="00A9272C" w:rsidP="00710787">
            <w:pPr>
              <w:pStyle w:val="ListParagraph"/>
              <w:rPr>
                <w:b/>
                <w:bCs/>
              </w:rPr>
            </w:pPr>
          </w:p>
          <w:p w14:paraId="1D942BBD" w14:textId="612C97DD" w:rsidR="00A9272C" w:rsidRDefault="00A9272C" w:rsidP="00710787">
            <w:pPr>
              <w:pStyle w:val="ListParagraph"/>
              <w:rPr>
                <w:b/>
                <w:bCs/>
              </w:rPr>
            </w:pPr>
          </w:p>
        </w:tc>
      </w:tr>
      <w:tr w:rsidR="00F257D7" w:rsidRPr="00F257D7" w14:paraId="529D6E56" w14:textId="77777777" w:rsidTr="002749CB">
        <w:tc>
          <w:tcPr>
            <w:tcW w:w="9350" w:type="dxa"/>
            <w:tcBorders>
              <w:top w:val="nil"/>
              <w:bottom w:val="single" w:sz="4" w:space="0" w:color="auto"/>
            </w:tcBorders>
            <w:shd w:val="clear" w:color="auto" w:fill="805992"/>
          </w:tcPr>
          <w:p w14:paraId="097B19E7" w14:textId="409D0498" w:rsidR="00AB0258" w:rsidRPr="00AB0258" w:rsidRDefault="00F257D7" w:rsidP="00AB0258">
            <w:pPr>
              <w:jc w:val="center"/>
              <w:rPr>
                <w:b/>
                <w:bCs/>
              </w:rPr>
            </w:pPr>
            <w:r w:rsidRPr="00AB0258">
              <w:rPr>
                <w:b/>
                <w:bCs/>
                <w:color w:val="FFFFFF" w:themeColor="background1"/>
              </w:rPr>
              <w:lastRenderedPageBreak/>
              <w:t>Types of Checking and Savings Accounts to Benefit Someone Else</w:t>
            </w:r>
          </w:p>
        </w:tc>
      </w:tr>
      <w:tr w:rsidR="00AB0258" w:rsidRPr="00F257D7" w14:paraId="32D86595" w14:textId="77777777" w:rsidTr="0086776C">
        <w:tc>
          <w:tcPr>
            <w:tcW w:w="9350" w:type="dxa"/>
            <w:tcBorders>
              <w:top w:val="single" w:sz="4" w:space="0" w:color="auto"/>
            </w:tcBorders>
            <w:shd w:val="clear" w:color="auto" w:fill="DBC9ED"/>
          </w:tcPr>
          <w:p w14:paraId="1F6FD459" w14:textId="77777777" w:rsidR="00710787" w:rsidRDefault="00710787" w:rsidP="00AB0258">
            <w:pPr>
              <w:rPr>
                <w:b/>
                <w:bCs/>
              </w:rPr>
            </w:pPr>
          </w:p>
          <w:p w14:paraId="39009061" w14:textId="7D07630D" w:rsidR="00AB0258" w:rsidRDefault="00AB0258" w:rsidP="00AB0258">
            <w:pPr>
              <w:rPr>
                <w:b/>
                <w:bCs/>
              </w:rPr>
            </w:pPr>
            <w:r>
              <w:rPr>
                <w:b/>
                <w:bCs/>
              </w:rPr>
              <w:t>Trust Account:</w:t>
            </w:r>
          </w:p>
          <w:p w14:paraId="65AFB9D2" w14:textId="77777777" w:rsidR="00AB0258" w:rsidRDefault="00AB0258" w:rsidP="00AB0258">
            <w:r>
              <w:t>A trust account is established in the name of a trust and managed by trustees on behalf of a beneficiary. The trust owns the funds, and only trustees can conduct transactions. The beneficiary may or may not be a trustee.</w:t>
            </w:r>
          </w:p>
          <w:p w14:paraId="21788C4D" w14:textId="77777777" w:rsidR="00AB0258" w:rsidRDefault="00AB0258" w:rsidP="00AB0258"/>
          <w:p w14:paraId="28AB25BD" w14:textId="77777777" w:rsidR="00AB0258" w:rsidRDefault="00AB0258" w:rsidP="00AB0258">
            <w:pPr>
              <w:rPr>
                <w:b/>
                <w:bCs/>
              </w:rPr>
            </w:pPr>
            <w:r>
              <w:rPr>
                <w:b/>
                <w:bCs/>
              </w:rPr>
              <w:t>Guardianship Account:</w:t>
            </w:r>
          </w:p>
          <w:p w14:paraId="48D38D3D" w14:textId="77777777" w:rsidR="00AB0258" w:rsidRDefault="00AB0258" w:rsidP="00AB0258">
            <w:r>
              <w:t>A guardianship account is created for a person under court-ordered guardianship. The individual under guardianship owns the funds, and only the guardian can manage transactions on this account.</w:t>
            </w:r>
          </w:p>
          <w:p w14:paraId="76DE453C" w14:textId="77777777" w:rsidR="00AB0258" w:rsidRDefault="00AB0258" w:rsidP="00AB0258"/>
          <w:p w14:paraId="4812F41A" w14:textId="04E124BA" w:rsidR="00AB0258" w:rsidRDefault="00AB0258" w:rsidP="00AB0258">
            <w:pPr>
              <w:rPr>
                <w:b/>
                <w:bCs/>
              </w:rPr>
            </w:pPr>
            <w:r>
              <w:rPr>
                <w:b/>
                <w:bCs/>
              </w:rPr>
              <w:t>Representative Payee (Rep Payee) Account:</w:t>
            </w:r>
          </w:p>
          <w:p w14:paraId="1A2B531A" w14:textId="77777777" w:rsidR="00AB0258" w:rsidRDefault="00AB0258" w:rsidP="00AB0258">
            <w:r>
              <w:t>A representative payee account is designated for individuals receiving Social Security benefits who require assistance managing their finances. The Social Security benefits recipient owns the funds but has no access to the account. Only the representative payee can conduct transactions and deposits are limited to Social Security payments.</w:t>
            </w:r>
          </w:p>
          <w:p w14:paraId="0B1FD521" w14:textId="77777777" w:rsidR="00AB0258" w:rsidRDefault="00AB0258" w:rsidP="00AB0258"/>
          <w:p w14:paraId="5F400DCE" w14:textId="77777777" w:rsidR="00AB0258" w:rsidRDefault="00AB0258" w:rsidP="00AB0258">
            <w:r>
              <w:rPr>
                <w:b/>
                <w:bCs/>
              </w:rPr>
              <w:t>Estate Account:</w:t>
            </w:r>
          </w:p>
          <w:p w14:paraId="1E40B4B5" w14:textId="77777777" w:rsidR="00AB0258" w:rsidRDefault="00AB0258" w:rsidP="00AB0258">
            <w:r>
              <w:t>An estate account is established for a deceased person’s estate. Upon entering the will into Probate Court, an executor or administrator is appointed to manage the estate and can open an estate account for fund management. The estate owns the funds, and only the executor or administrator can conduct transactions on this account.</w:t>
            </w:r>
          </w:p>
          <w:p w14:paraId="5B3C4964" w14:textId="3B3C9584" w:rsidR="00A9272C" w:rsidRDefault="00A9272C" w:rsidP="00AB0258">
            <w:pPr>
              <w:rPr>
                <w:b/>
                <w:bCs/>
              </w:rPr>
            </w:pPr>
          </w:p>
        </w:tc>
      </w:tr>
    </w:tbl>
    <w:p w14:paraId="26EC5C93" w14:textId="67A53288" w:rsidR="00C829EA" w:rsidRDefault="00C829EA"/>
    <w:tbl>
      <w:tblPr>
        <w:tblStyle w:val="TableGrid"/>
        <w:tblW w:w="0" w:type="auto"/>
        <w:tblLook w:val="04A0" w:firstRow="1" w:lastRow="0" w:firstColumn="1" w:lastColumn="0" w:noHBand="0" w:noVBand="1"/>
      </w:tblPr>
      <w:tblGrid>
        <w:gridCol w:w="9350"/>
      </w:tblGrid>
      <w:tr w:rsidR="00AB0258" w14:paraId="496556CB" w14:textId="77777777" w:rsidTr="002749CB">
        <w:tc>
          <w:tcPr>
            <w:tcW w:w="9350" w:type="dxa"/>
            <w:shd w:val="clear" w:color="auto" w:fill="805992"/>
          </w:tcPr>
          <w:p w14:paraId="0CFF53A5" w14:textId="51F701AA" w:rsidR="00AB0258" w:rsidRPr="006F4CB8" w:rsidRDefault="002749CB" w:rsidP="002749CB">
            <w:pPr>
              <w:tabs>
                <w:tab w:val="center" w:pos="4567"/>
                <w:tab w:val="left" w:pos="5985"/>
              </w:tabs>
              <w:rPr>
                <w:b/>
                <w:bCs/>
                <w:color w:val="FFFFFF" w:themeColor="background1"/>
                <w:sz w:val="32"/>
                <w:szCs w:val="32"/>
              </w:rPr>
            </w:pPr>
            <w:r>
              <w:rPr>
                <w:b/>
                <w:bCs/>
                <w:color w:val="FFFFFF" w:themeColor="background1"/>
                <w:sz w:val="32"/>
                <w:szCs w:val="32"/>
              </w:rPr>
              <w:tab/>
            </w:r>
            <w:r w:rsidR="00AB0258" w:rsidRPr="006F4CB8">
              <w:rPr>
                <w:b/>
                <w:bCs/>
                <w:color w:val="FFFFFF" w:themeColor="background1"/>
                <w:sz w:val="32"/>
                <w:szCs w:val="32"/>
              </w:rPr>
              <w:t>Glossary</w:t>
            </w:r>
            <w:r>
              <w:rPr>
                <w:b/>
                <w:bCs/>
                <w:color w:val="FFFFFF" w:themeColor="background1"/>
                <w:sz w:val="32"/>
                <w:szCs w:val="32"/>
              </w:rPr>
              <w:tab/>
            </w:r>
          </w:p>
          <w:p w14:paraId="1EC704AD" w14:textId="6824A35D" w:rsidR="006F4CB8" w:rsidRPr="006F4CB8" w:rsidRDefault="000A730F" w:rsidP="00BE27E7">
            <w:pPr>
              <w:tabs>
                <w:tab w:val="left" w:pos="930"/>
                <w:tab w:val="left" w:pos="6795"/>
              </w:tabs>
              <w:rPr>
                <w:b/>
                <w:bCs/>
                <w:color w:val="FFFFFF" w:themeColor="background1"/>
              </w:rPr>
            </w:pPr>
            <w:r>
              <w:rPr>
                <w:b/>
                <w:bCs/>
                <w:color w:val="FFFFFF" w:themeColor="background1"/>
              </w:rPr>
              <w:tab/>
            </w:r>
            <w:r w:rsidR="00BE27E7">
              <w:rPr>
                <w:b/>
                <w:bCs/>
                <w:color w:val="FFFFFF" w:themeColor="background1"/>
              </w:rPr>
              <w:tab/>
            </w:r>
          </w:p>
          <w:p w14:paraId="44ACA2AD" w14:textId="540B2DB9" w:rsidR="00AB0258" w:rsidRPr="006F4CB8" w:rsidRDefault="00AB0258" w:rsidP="00AB0258">
            <w:pPr>
              <w:rPr>
                <w:color w:val="FFFFFF" w:themeColor="background1"/>
              </w:rPr>
            </w:pPr>
            <w:r w:rsidRPr="006F4CB8">
              <w:rPr>
                <w:b/>
                <w:bCs/>
                <w:color w:val="FFFFFF" w:themeColor="background1"/>
              </w:rPr>
              <w:t xml:space="preserve">Account Beneficiary – </w:t>
            </w:r>
            <w:r w:rsidRPr="006F4CB8">
              <w:rPr>
                <w:color w:val="FFFFFF" w:themeColor="background1"/>
              </w:rPr>
              <w:t xml:space="preserve">a general term for the person </w:t>
            </w:r>
            <w:r w:rsidR="00B90D3D" w:rsidRPr="006F4CB8">
              <w:rPr>
                <w:color w:val="FFFFFF" w:themeColor="background1"/>
              </w:rPr>
              <w:t>who benefits from the funds in an account after death but cannot transact on the account.</w:t>
            </w:r>
          </w:p>
          <w:p w14:paraId="4BE5F9FB" w14:textId="77777777" w:rsidR="006F4CB8" w:rsidRPr="006F4CB8" w:rsidRDefault="006F4CB8" w:rsidP="00AB0258">
            <w:pPr>
              <w:rPr>
                <w:color w:val="FFFFFF" w:themeColor="background1"/>
              </w:rPr>
            </w:pPr>
          </w:p>
          <w:p w14:paraId="251EEC08" w14:textId="50B401FA" w:rsidR="00B90D3D" w:rsidRPr="006F4CB8" w:rsidRDefault="00B90D3D" w:rsidP="00AB0258">
            <w:pPr>
              <w:rPr>
                <w:color w:val="FFFFFF" w:themeColor="background1"/>
              </w:rPr>
            </w:pPr>
            <w:r w:rsidRPr="006F4CB8">
              <w:rPr>
                <w:b/>
                <w:bCs/>
                <w:color w:val="FFFFFF" w:themeColor="background1"/>
              </w:rPr>
              <w:t xml:space="preserve">Agent/Attorney-in-Fact/Power of Attorney (POA) – </w:t>
            </w:r>
            <w:r w:rsidRPr="006F4CB8">
              <w:rPr>
                <w:color w:val="FFFFFF" w:themeColor="background1"/>
              </w:rPr>
              <w:t>the person who acts on behalf of another after receiving powers from the principal.</w:t>
            </w:r>
          </w:p>
          <w:p w14:paraId="24BCADF6" w14:textId="77777777" w:rsidR="006F4CB8" w:rsidRPr="006F4CB8" w:rsidRDefault="006F4CB8" w:rsidP="00AB0258">
            <w:pPr>
              <w:rPr>
                <w:color w:val="FFFFFF" w:themeColor="background1"/>
              </w:rPr>
            </w:pPr>
          </w:p>
          <w:p w14:paraId="329B698C" w14:textId="756A7D8C" w:rsidR="00B90D3D" w:rsidRPr="006F4CB8" w:rsidRDefault="00B90D3D" w:rsidP="00AB0258">
            <w:pPr>
              <w:rPr>
                <w:color w:val="FFFFFF" w:themeColor="background1"/>
              </w:rPr>
            </w:pPr>
            <w:r w:rsidRPr="006F4CB8">
              <w:rPr>
                <w:b/>
                <w:bCs/>
                <w:color w:val="FFFFFF" w:themeColor="background1"/>
              </w:rPr>
              <w:t xml:space="preserve">Administrator – </w:t>
            </w:r>
            <w:r w:rsidRPr="006F4CB8">
              <w:rPr>
                <w:color w:val="FFFFFF" w:themeColor="background1"/>
              </w:rPr>
              <w:t>a person appointed by a court to carry out the estate administrative process when there is no will, the will was found to be invalid, or there is not an executor named in the will.</w:t>
            </w:r>
          </w:p>
          <w:p w14:paraId="115F5322" w14:textId="77777777" w:rsidR="006F4CB8" w:rsidRPr="006F4CB8" w:rsidRDefault="006F4CB8" w:rsidP="00AB0258">
            <w:pPr>
              <w:rPr>
                <w:color w:val="FFFFFF" w:themeColor="background1"/>
              </w:rPr>
            </w:pPr>
          </w:p>
          <w:p w14:paraId="4D419ED7" w14:textId="1104E8CA" w:rsidR="00B90D3D" w:rsidRPr="006F4CB8" w:rsidRDefault="00B90D3D" w:rsidP="00AB0258">
            <w:pPr>
              <w:rPr>
                <w:color w:val="FFFFFF" w:themeColor="background1"/>
              </w:rPr>
            </w:pPr>
            <w:r w:rsidRPr="006F4CB8">
              <w:rPr>
                <w:b/>
                <w:bCs/>
                <w:color w:val="FFFFFF" w:themeColor="background1"/>
              </w:rPr>
              <w:t>Executor -</w:t>
            </w:r>
            <w:r w:rsidRPr="006F4CB8">
              <w:rPr>
                <w:color w:val="FFFFFF" w:themeColor="background1"/>
              </w:rPr>
              <w:t xml:space="preserve"> a person named in a will to carry out the terms of the will. </w:t>
            </w:r>
          </w:p>
          <w:p w14:paraId="04635205" w14:textId="77777777" w:rsidR="006F4CB8" w:rsidRPr="006F4CB8" w:rsidRDefault="006F4CB8" w:rsidP="00AB0258">
            <w:pPr>
              <w:rPr>
                <w:color w:val="FFFFFF" w:themeColor="background1"/>
              </w:rPr>
            </w:pPr>
          </w:p>
          <w:p w14:paraId="333C0196" w14:textId="714E4BFA" w:rsidR="00B90D3D" w:rsidRPr="006F4CB8" w:rsidRDefault="00B90D3D" w:rsidP="00AB0258">
            <w:pPr>
              <w:rPr>
                <w:color w:val="FFFFFF" w:themeColor="background1"/>
              </w:rPr>
            </w:pPr>
            <w:r w:rsidRPr="006F4CB8">
              <w:rPr>
                <w:b/>
                <w:bCs/>
                <w:color w:val="FFFFFF" w:themeColor="background1"/>
              </w:rPr>
              <w:t xml:space="preserve">Financial liability – </w:t>
            </w:r>
            <w:r w:rsidRPr="006F4CB8">
              <w:rPr>
                <w:color w:val="FFFFFF" w:themeColor="background1"/>
              </w:rPr>
              <w:t>a general term for an obligation that someone has to pay for or deliver on, such as a bank loan, a leasing agreement, or an unpaid bill.</w:t>
            </w:r>
          </w:p>
          <w:p w14:paraId="63C59E91" w14:textId="77777777" w:rsidR="006F4CB8" w:rsidRPr="006F4CB8" w:rsidRDefault="006F4CB8" w:rsidP="00AB0258">
            <w:pPr>
              <w:rPr>
                <w:color w:val="FFFFFF" w:themeColor="background1"/>
              </w:rPr>
            </w:pPr>
          </w:p>
          <w:p w14:paraId="70628724" w14:textId="2F611E7B" w:rsidR="00B90D3D" w:rsidRPr="006F4CB8" w:rsidRDefault="00B90D3D" w:rsidP="00AB0258">
            <w:pPr>
              <w:rPr>
                <w:color w:val="FFFFFF" w:themeColor="background1"/>
              </w:rPr>
            </w:pPr>
            <w:r w:rsidRPr="006F4CB8">
              <w:rPr>
                <w:b/>
                <w:bCs/>
                <w:color w:val="FFFFFF" w:themeColor="background1"/>
              </w:rPr>
              <w:t xml:space="preserve">Fiduciary – </w:t>
            </w:r>
            <w:r w:rsidRPr="006F4CB8">
              <w:rPr>
                <w:color w:val="FFFFFF" w:themeColor="background1"/>
              </w:rPr>
              <w:t>exercised the utmost good faith and trust when making financial decisions in the best interest of another. The types of fiduciaries are trustees, guardians, agents, administrators, and executors.</w:t>
            </w:r>
          </w:p>
          <w:p w14:paraId="3BDB2D8D" w14:textId="77777777" w:rsidR="006F4CB8" w:rsidRPr="006F4CB8" w:rsidRDefault="006F4CB8" w:rsidP="00AB0258">
            <w:pPr>
              <w:rPr>
                <w:color w:val="FFFFFF" w:themeColor="background1"/>
              </w:rPr>
            </w:pPr>
          </w:p>
          <w:p w14:paraId="21A9EFFA" w14:textId="626F3E08" w:rsidR="00B90D3D" w:rsidRPr="006F4CB8" w:rsidRDefault="00B90D3D" w:rsidP="00AB0258">
            <w:pPr>
              <w:rPr>
                <w:color w:val="FFFFFF" w:themeColor="background1"/>
              </w:rPr>
            </w:pPr>
            <w:r w:rsidRPr="006F4CB8">
              <w:rPr>
                <w:b/>
                <w:bCs/>
                <w:color w:val="FFFFFF" w:themeColor="background1"/>
              </w:rPr>
              <w:lastRenderedPageBreak/>
              <w:t xml:space="preserve">Guardian/Conservator – </w:t>
            </w:r>
            <w:r w:rsidRPr="006F4CB8">
              <w:rPr>
                <w:color w:val="FFFFFF" w:themeColor="background1"/>
              </w:rPr>
              <w:t>a person who looks after and is legally responsible for someone unable to manage their affairs.</w:t>
            </w:r>
          </w:p>
          <w:p w14:paraId="1B3030CC" w14:textId="335FC195" w:rsidR="00B90D3D" w:rsidRPr="006F4CB8" w:rsidRDefault="00B90D3D" w:rsidP="00AB0258">
            <w:pPr>
              <w:rPr>
                <w:color w:val="FFFFFF" w:themeColor="background1"/>
              </w:rPr>
            </w:pPr>
            <w:r w:rsidRPr="006F4CB8">
              <w:rPr>
                <w:b/>
                <w:bCs/>
                <w:color w:val="FFFFFF" w:themeColor="background1"/>
              </w:rPr>
              <w:t xml:space="preserve">Principal – </w:t>
            </w:r>
            <w:r w:rsidRPr="006F4CB8">
              <w:rPr>
                <w:color w:val="FFFFFF" w:themeColor="background1"/>
              </w:rPr>
              <w:t>the individual who gives the power of attorney to the agent, and the agent is authorized to make decisions and take actions as if they were the principal.</w:t>
            </w:r>
          </w:p>
          <w:p w14:paraId="7B92444C" w14:textId="77777777" w:rsidR="006F4CB8" w:rsidRPr="006F4CB8" w:rsidRDefault="006F4CB8" w:rsidP="00AB0258">
            <w:pPr>
              <w:rPr>
                <w:color w:val="FFFFFF" w:themeColor="background1"/>
              </w:rPr>
            </w:pPr>
          </w:p>
          <w:p w14:paraId="223070D4" w14:textId="35530947" w:rsidR="00B90D3D" w:rsidRPr="006F4CB8" w:rsidRDefault="00B90D3D" w:rsidP="00AB0258">
            <w:pPr>
              <w:rPr>
                <w:color w:val="FFFFFF" w:themeColor="background1"/>
              </w:rPr>
            </w:pPr>
            <w:r w:rsidRPr="006F4CB8">
              <w:rPr>
                <w:b/>
                <w:bCs/>
                <w:color w:val="FFFFFF" w:themeColor="background1"/>
              </w:rPr>
              <w:t xml:space="preserve">Representative Payee (rep payee) – </w:t>
            </w:r>
            <w:r w:rsidRPr="006F4CB8">
              <w:rPr>
                <w:color w:val="FFFFFF" w:themeColor="background1"/>
              </w:rPr>
              <w:t>the person appointed by the Social Security Administration to manage benefits for someone unable to manage his or her benefits.</w:t>
            </w:r>
          </w:p>
          <w:p w14:paraId="4D97B166" w14:textId="77777777" w:rsidR="006F4CB8" w:rsidRPr="006F4CB8" w:rsidRDefault="006F4CB8" w:rsidP="00AB0258">
            <w:pPr>
              <w:rPr>
                <w:color w:val="FFFFFF" w:themeColor="background1"/>
              </w:rPr>
            </w:pPr>
          </w:p>
          <w:p w14:paraId="704DE078" w14:textId="4F7D7045" w:rsidR="00B90D3D" w:rsidRPr="006F4CB8" w:rsidRDefault="00B90D3D" w:rsidP="00AB0258">
            <w:pPr>
              <w:rPr>
                <w:color w:val="FFFFFF" w:themeColor="background1"/>
              </w:rPr>
            </w:pPr>
            <w:r w:rsidRPr="006F4CB8">
              <w:rPr>
                <w:b/>
                <w:bCs/>
                <w:color w:val="FFFFFF" w:themeColor="background1"/>
              </w:rPr>
              <w:t xml:space="preserve">Representative payee beneficiary - </w:t>
            </w:r>
            <w:r w:rsidRPr="006F4CB8">
              <w:rPr>
                <w:color w:val="FFFFFF" w:themeColor="background1"/>
              </w:rPr>
              <w:t>the person for whom social security funds are managed.</w:t>
            </w:r>
          </w:p>
          <w:p w14:paraId="1A48D538" w14:textId="77777777" w:rsidR="006F4CB8" w:rsidRPr="006F4CB8" w:rsidRDefault="006F4CB8" w:rsidP="00AB0258">
            <w:pPr>
              <w:rPr>
                <w:color w:val="FFFFFF" w:themeColor="background1"/>
              </w:rPr>
            </w:pPr>
          </w:p>
          <w:p w14:paraId="4C95DAFC" w14:textId="77288A20" w:rsidR="00B90D3D" w:rsidRPr="006F4CB8" w:rsidRDefault="00B90D3D" w:rsidP="00AB0258">
            <w:pPr>
              <w:rPr>
                <w:color w:val="FFFFFF" w:themeColor="background1"/>
              </w:rPr>
            </w:pPr>
            <w:r w:rsidRPr="006F4CB8">
              <w:rPr>
                <w:b/>
                <w:bCs/>
                <w:color w:val="FFFFFF" w:themeColor="background1"/>
              </w:rPr>
              <w:t xml:space="preserve">Trust – </w:t>
            </w:r>
            <w:r w:rsidRPr="006F4CB8">
              <w:rPr>
                <w:color w:val="FFFFFF" w:themeColor="background1"/>
              </w:rPr>
              <w:t>a document drafted by an attorney and is an arrangement that allows a third-party fiduciary, or trustee, to hold assets on behalf of a beneficiary or beneficiaries.</w:t>
            </w:r>
          </w:p>
          <w:p w14:paraId="6947E416" w14:textId="77777777" w:rsidR="006F4CB8" w:rsidRPr="006F4CB8" w:rsidRDefault="006F4CB8" w:rsidP="00AB0258">
            <w:pPr>
              <w:rPr>
                <w:color w:val="FFFFFF" w:themeColor="background1"/>
              </w:rPr>
            </w:pPr>
          </w:p>
          <w:p w14:paraId="1A79B018" w14:textId="4FDDA994" w:rsidR="006F4CB8" w:rsidRPr="006F4CB8" w:rsidRDefault="006F4CB8" w:rsidP="00AB0258">
            <w:r w:rsidRPr="006F4CB8">
              <w:rPr>
                <w:b/>
                <w:bCs/>
                <w:color w:val="FFFFFF" w:themeColor="background1"/>
              </w:rPr>
              <w:t xml:space="preserve">Trustee – </w:t>
            </w:r>
            <w:r w:rsidRPr="006F4CB8">
              <w:rPr>
                <w:color w:val="FFFFFF" w:themeColor="background1"/>
              </w:rPr>
              <w:t>an individual or entity given the authority to administer the terms of the trust.</w:t>
            </w:r>
          </w:p>
        </w:tc>
      </w:tr>
    </w:tbl>
    <w:p w14:paraId="24F9FC6B" w14:textId="77777777" w:rsidR="00AB0258" w:rsidRPr="00AB0258" w:rsidRDefault="00AB0258" w:rsidP="00AB0258">
      <w:pPr>
        <w:jc w:val="center"/>
        <w:rPr>
          <w:b/>
          <w:bCs/>
        </w:rPr>
      </w:pPr>
    </w:p>
    <w:sectPr w:rsidR="00AB0258" w:rsidRPr="00AB02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1AA49" w14:textId="77777777" w:rsidR="002254F8" w:rsidRDefault="002254F8" w:rsidP="00A067D3">
      <w:pPr>
        <w:spacing w:after="0" w:line="240" w:lineRule="auto"/>
      </w:pPr>
      <w:r>
        <w:separator/>
      </w:r>
    </w:p>
  </w:endnote>
  <w:endnote w:type="continuationSeparator" w:id="0">
    <w:p w14:paraId="3C242F2B" w14:textId="77777777" w:rsidR="002254F8" w:rsidRDefault="002254F8" w:rsidP="00A06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A4206" w14:textId="77777777" w:rsidR="00A673DD" w:rsidRDefault="00A673DD" w:rsidP="00A673DD">
    <w:pPr>
      <w:pStyle w:val="Footer"/>
      <w:jc w:val="center"/>
    </w:pPr>
    <w:r>
      <w:rPr>
        <w:noProof/>
      </w:rPr>
      <w:drawing>
        <wp:inline distT="0" distB="0" distL="0" distR="0" wp14:anchorId="4DA0C2FD" wp14:editId="2B65338F">
          <wp:extent cx="1609725" cy="28617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838" cy="327971"/>
                  </a:xfrm>
                  <a:prstGeom prst="rect">
                    <a:avLst/>
                  </a:prstGeom>
                  <a:noFill/>
                  <a:ln>
                    <a:noFill/>
                  </a:ln>
                </pic:spPr>
              </pic:pic>
            </a:graphicData>
          </a:graphic>
        </wp:inline>
      </w:drawing>
    </w:r>
    <w:r w:rsidRPr="00F64E1F">
      <w:t xml:space="preserve"> </w:t>
    </w:r>
  </w:p>
  <w:p w14:paraId="083CDEBF" w14:textId="3A34ECA8" w:rsidR="00A067D3" w:rsidRDefault="00E616B0" w:rsidP="001E35F5">
    <w:pPr>
      <w:pStyle w:val="Footer"/>
      <w:jc w:val="center"/>
      <w:rPr>
        <w:color w:val="0F5640"/>
      </w:rPr>
    </w:pPr>
    <w:r>
      <w:rPr>
        <w:noProof/>
      </w:rPr>
      <mc:AlternateContent>
        <mc:Choice Requires="wpg">
          <w:drawing>
            <wp:anchor distT="0" distB="0" distL="114300" distR="114300" simplePos="0" relativeHeight="251659264" behindDoc="0" locked="0" layoutInCell="1" allowOverlap="1" wp14:anchorId="6EE95F74" wp14:editId="0DFC1BDD">
              <wp:simplePos x="0" y="0"/>
              <wp:positionH relativeFrom="page">
                <wp:align>right</wp:align>
              </wp:positionH>
              <wp:positionV relativeFrom="bottomMargin">
                <wp:align>center</wp:align>
              </wp:positionV>
              <wp:extent cx="6172200" cy="278131"/>
              <wp:effectExtent l="0" t="0" r="0" b="0"/>
              <wp:wrapNone/>
              <wp:docPr id="164" name="Group 164"/>
              <wp:cNvGraphicFramePr/>
              <a:graphic xmlns:a="http://schemas.openxmlformats.org/drawingml/2006/main">
                <a:graphicData uri="http://schemas.microsoft.com/office/word/2010/wordprocessingGroup">
                  <wpg:wgp>
                    <wpg:cNvGrpSpPr/>
                    <wpg:grpSpPr>
                      <a:xfrm>
                        <a:off x="0" y="0"/>
                        <a:ext cx="6172200" cy="278131"/>
                        <a:chOff x="0" y="0"/>
                        <a:chExt cx="6172200" cy="371178"/>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0" y="12713"/>
                          <a:ext cx="5378450" cy="35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92363A" w14:textId="43CAB092" w:rsidR="00A067D3" w:rsidRDefault="002254F8" w:rsidP="00A673DD">
                            <w:pPr>
                              <w:pStyle w:val="Footer"/>
                              <w:tabs>
                                <w:tab w:val="clear" w:pos="4680"/>
                                <w:tab w:val="clear" w:pos="9360"/>
                              </w:tabs>
                              <w:jc w:val="center"/>
                            </w:pPr>
                            <w:sdt>
                              <w:sdtPr>
                                <w:rPr>
                                  <w:caps/>
                                  <w:color w:val="4472C4" w:themeColor="accent1"/>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DD0395">
                                  <w:rPr>
                                    <w:caps/>
                                    <w:color w:val="4472C4" w:themeColor="accent1"/>
                                    <w:sz w:val="20"/>
                                    <w:szCs w:val="20"/>
                                  </w:rPr>
                                  <w:t>Account Ownership Types &amp; Glossary</w:t>
                                </w:r>
                              </w:sdtContent>
                            </w:sdt>
                            <w:r w:rsidR="00A067D3">
                              <w:rPr>
                                <w:caps/>
                                <w:color w:val="808080" w:themeColor="background1" w:themeShade="80"/>
                                <w:sz w:val="20"/>
                                <w:szCs w:val="20"/>
                              </w:rPr>
                              <w:t> | </w:t>
                            </w:r>
                            <w:sdt>
                              <w:sdt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1E35F5">
                                  <w:t>(</w:t>
                                </w:r>
                                <w:r w:rsidR="00DD0395" w:rsidRPr="00DD0395">
                                  <w:t>Vermont, Financial Abuse Specialist team (FAST))</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6EE95F74" id="Group 164" o:spid="_x0000_s1026" style="position:absolute;left:0;text-align:left;margin-left:434.8pt;margin-top:0;width:486pt;height:21.9pt;z-index:251659264;mso-position-horizontal:right;mso-position-horizontal-relative:page;mso-position-vertical:center;mso-position-vertical-relative:bottom-margin-area;mso-width-relative:margin;mso-height-relative:margin" coordsize="61722,3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66" o:spid="_x0000_s1028" type="#_x0000_t202" style="position:absolute;top:127;width:53784;height:3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1992363A" w14:textId="43CAB092" w:rsidR="00A067D3" w:rsidRDefault="002254F8" w:rsidP="00A673DD">
                      <w:pPr>
                        <w:pStyle w:val="Footer"/>
                        <w:tabs>
                          <w:tab w:val="clear" w:pos="4680"/>
                          <w:tab w:val="clear" w:pos="9360"/>
                        </w:tabs>
                        <w:jc w:val="center"/>
                      </w:pPr>
                      <w:sdt>
                        <w:sdtPr>
                          <w:rPr>
                            <w:caps/>
                            <w:color w:val="4472C4" w:themeColor="accent1"/>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DD0395">
                            <w:rPr>
                              <w:caps/>
                              <w:color w:val="4472C4" w:themeColor="accent1"/>
                              <w:sz w:val="20"/>
                              <w:szCs w:val="20"/>
                            </w:rPr>
                            <w:t>Account Ownership Types &amp; Glossary</w:t>
                          </w:r>
                        </w:sdtContent>
                      </w:sdt>
                      <w:r w:rsidR="00A067D3">
                        <w:rPr>
                          <w:caps/>
                          <w:color w:val="808080" w:themeColor="background1" w:themeShade="80"/>
                          <w:sz w:val="20"/>
                          <w:szCs w:val="20"/>
                        </w:rPr>
                        <w:t> | </w:t>
                      </w:r>
                      <w:sdt>
                        <w:sdt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1E35F5">
                            <w:t>(</w:t>
                          </w:r>
                          <w:r w:rsidR="00DD0395" w:rsidRPr="00DD0395">
                            <w:t>Vermont, Financial Abuse Specialist team (FAST))</w:t>
                          </w:r>
                        </w:sdtContent>
                      </w:sdt>
                    </w:p>
                  </w:txbxContent>
                </v:textbox>
              </v:shape>
              <w10:wrap anchorx="page" anchory="margin"/>
            </v:group>
          </w:pict>
        </mc:Fallback>
      </mc:AlternateContent>
    </w:r>
    <w:r w:rsidR="00A673DD" w:rsidRPr="004C4B94">
      <w:rPr>
        <w:color w:val="0F5640"/>
      </w:rPr>
      <w:t xml:space="preserve">uwgb.edu/elder-justice-coalition/ </w:t>
    </w:r>
  </w:p>
  <w:p w14:paraId="7689383C" w14:textId="77777777" w:rsidR="001E35F5" w:rsidRPr="001E35F5" w:rsidRDefault="001E35F5" w:rsidP="001E35F5">
    <w:pPr>
      <w:pStyle w:val="Footer"/>
      <w:jc w:val="center"/>
      <w:rPr>
        <w:color w:val="0F56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56569" w14:textId="77777777" w:rsidR="002254F8" w:rsidRDefault="002254F8" w:rsidP="00A067D3">
      <w:pPr>
        <w:spacing w:after="0" w:line="240" w:lineRule="auto"/>
      </w:pPr>
      <w:r>
        <w:separator/>
      </w:r>
    </w:p>
  </w:footnote>
  <w:footnote w:type="continuationSeparator" w:id="0">
    <w:p w14:paraId="02D6BBB9" w14:textId="77777777" w:rsidR="002254F8" w:rsidRDefault="002254F8" w:rsidP="00A067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F2DF1"/>
    <w:multiLevelType w:val="hybridMultilevel"/>
    <w:tmpl w:val="8A94B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3A4928"/>
    <w:multiLevelType w:val="hybridMultilevel"/>
    <w:tmpl w:val="B2563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F85AA5"/>
    <w:multiLevelType w:val="hybridMultilevel"/>
    <w:tmpl w:val="879AA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A2"/>
    <w:rsid w:val="000A730F"/>
    <w:rsid w:val="000B054B"/>
    <w:rsid w:val="001E35F5"/>
    <w:rsid w:val="002254F8"/>
    <w:rsid w:val="002749CB"/>
    <w:rsid w:val="003A6D50"/>
    <w:rsid w:val="006C4100"/>
    <w:rsid w:val="006F4CB8"/>
    <w:rsid w:val="00710787"/>
    <w:rsid w:val="007C1191"/>
    <w:rsid w:val="0086776C"/>
    <w:rsid w:val="008A1FA2"/>
    <w:rsid w:val="00A067D3"/>
    <w:rsid w:val="00A673DD"/>
    <w:rsid w:val="00A9272C"/>
    <w:rsid w:val="00AB0258"/>
    <w:rsid w:val="00B90D3D"/>
    <w:rsid w:val="00BE27E7"/>
    <w:rsid w:val="00C829EA"/>
    <w:rsid w:val="00DD0395"/>
    <w:rsid w:val="00E616B0"/>
    <w:rsid w:val="00EF5742"/>
    <w:rsid w:val="00F25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9FCC9A"/>
  <w15:chartTrackingRefBased/>
  <w15:docId w15:val="{306470DE-B14E-47FA-9C7F-65506936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1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FA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5742"/>
    <w:pPr>
      <w:ind w:left="720"/>
      <w:contextualSpacing/>
    </w:pPr>
  </w:style>
  <w:style w:type="paragraph" w:styleId="Header">
    <w:name w:val="header"/>
    <w:basedOn w:val="Normal"/>
    <w:link w:val="HeaderChar"/>
    <w:uiPriority w:val="99"/>
    <w:unhideWhenUsed/>
    <w:rsid w:val="00A067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7D3"/>
  </w:style>
  <w:style w:type="paragraph" w:styleId="Footer">
    <w:name w:val="footer"/>
    <w:basedOn w:val="Normal"/>
    <w:link w:val="FooterChar"/>
    <w:uiPriority w:val="99"/>
    <w:unhideWhenUsed/>
    <w:rsid w:val="00A067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804537">
      <w:bodyDiv w:val="1"/>
      <w:marLeft w:val="0"/>
      <w:marRight w:val="0"/>
      <w:marTop w:val="0"/>
      <w:marBottom w:val="0"/>
      <w:divBdr>
        <w:top w:val="none" w:sz="0" w:space="0" w:color="auto"/>
        <w:left w:val="none" w:sz="0" w:space="0" w:color="auto"/>
        <w:bottom w:val="none" w:sz="0" w:space="0" w:color="auto"/>
        <w:right w:val="none" w:sz="0" w:space="0" w:color="auto"/>
      </w:divBdr>
    </w:div>
    <w:div w:id="687751245">
      <w:bodyDiv w:val="1"/>
      <w:marLeft w:val="0"/>
      <w:marRight w:val="0"/>
      <w:marTop w:val="0"/>
      <w:marBottom w:val="0"/>
      <w:divBdr>
        <w:top w:val="none" w:sz="0" w:space="0" w:color="auto"/>
        <w:left w:val="none" w:sz="0" w:space="0" w:color="auto"/>
        <w:bottom w:val="none" w:sz="0" w:space="0" w:color="auto"/>
        <w:right w:val="none" w:sz="0" w:space="0" w:color="auto"/>
      </w:divBdr>
    </w:div>
    <w:div w:id="74680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774</Words>
  <Characters>4077</Characters>
  <Application>Microsoft Office Word</Application>
  <DocSecurity>0</DocSecurity>
  <Lines>97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 Ownership Types &amp; Glossary</dc:title>
  <dc:subject>(Vermont, Financial Abuse Specialist team (FAST))</dc:subject>
  <dc:creator>Leis, Debra</dc:creator>
  <cp:keywords/>
  <dc:description/>
  <cp:lastModifiedBy>Leis, Debra</cp:lastModifiedBy>
  <cp:revision>11</cp:revision>
  <dcterms:created xsi:type="dcterms:W3CDTF">2024-04-12T19:00:00Z</dcterms:created>
  <dcterms:modified xsi:type="dcterms:W3CDTF">2024-04-29T20:25:00Z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ac7ff8f9-82d5-4813-b615-1e72b35cfd50</vt:lpwstr>
  </property>
</Properties>
</file>